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38E9B">
      <w:pPr>
        <w:spacing w:line="580" w:lineRule="exact"/>
        <w:jc w:val="left"/>
        <w:rPr>
          <w:rFonts w:hint="eastAsia" w:ascii="黑体" w:hAnsi="黑体" w:eastAsia="黑体"/>
          <w:color w:val="000000" w:themeColor="text1"/>
          <w:sz w:val="32"/>
          <w:szCs w:val="32"/>
        </w:rPr>
      </w:pPr>
      <w:bookmarkStart w:id="0" w:name="_GoBack"/>
      <w:bookmarkEnd w:id="0"/>
      <w:r>
        <w:rPr>
          <w:rFonts w:hint="eastAsia" w:ascii="黑体" w:hAnsi="黑体" w:eastAsia="黑体"/>
          <w:color w:val="000000" w:themeColor="text1"/>
          <w:sz w:val="32"/>
          <w:szCs w:val="32"/>
        </w:rPr>
        <w:t>附件2</w:t>
      </w:r>
    </w:p>
    <w:p w14:paraId="749DEBCA">
      <w:pPr>
        <w:spacing w:line="580" w:lineRule="exact"/>
        <w:ind w:firstLine="4320" w:firstLineChars="900"/>
        <w:jc w:val="left"/>
        <w:rPr>
          <w:rFonts w:hint="eastAsia" w:ascii="方正小标宋简体" w:hAnsi="方正小标宋简体" w:eastAsia="方正小标宋简体" w:cs="宋体"/>
          <w:color w:val="000000"/>
          <w:kern w:val="0"/>
          <w:sz w:val="48"/>
          <w:szCs w:val="48"/>
        </w:rPr>
      </w:pPr>
      <w:r>
        <w:rPr>
          <w:rFonts w:hint="eastAsia" w:ascii="方正小标宋简体" w:hAnsi="方正小标宋简体" w:eastAsia="方正小标宋简体" w:cs="宋体"/>
          <w:color w:val="000000"/>
          <w:kern w:val="0"/>
          <w:sz w:val="48"/>
          <w:szCs w:val="48"/>
        </w:rPr>
        <w:t>涉企行政检查事项梳理表</w:t>
      </w:r>
    </w:p>
    <w:p w14:paraId="0713E0AE">
      <w:pPr>
        <w:spacing w:line="580" w:lineRule="exact"/>
        <w:jc w:val="left"/>
        <w:rPr>
          <w:rFonts w:ascii="黑体" w:hAnsi="黑体" w:eastAsia="黑体"/>
          <w:color w:val="000000" w:themeColor="text1"/>
          <w:sz w:val="32"/>
          <w:szCs w:val="32"/>
        </w:rPr>
      </w:pPr>
      <w:r>
        <w:rPr>
          <w:rFonts w:hint="eastAsia" w:ascii="仿宋_GB2312" w:hAnsi="宋体" w:eastAsia="仿宋_GB2312" w:cs="宋体"/>
          <w:color w:val="000000"/>
          <w:kern w:val="0"/>
          <w:sz w:val="32"/>
          <w:szCs w:val="32"/>
        </w:rPr>
        <w:t>填报单位（盖章）：镇巴县文化和旅游局                    填报时间：2025年2月21日</w:t>
      </w:r>
    </w:p>
    <w:tbl>
      <w:tblPr>
        <w:tblStyle w:val="4"/>
        <w:tblW w:w="15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789"/>
        <w:gridCol w:w="2512"/>
        <w:gridCol w:w="2512"/>
        <w:gridCol w:w="2818"/>
        <w:gridCol w:w="2177"/>
        <w:gridCol w:w="1285"/>
      </w:tblGrid>
      <w:tr w14:paraId="352E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08" w:type="dxa"/>
            <w:shd w:val="clear" w:color="auto" w:fill="auto"/>
            <w:noWrap/>
            <w:vAlign w:val="center"/>
          </w:tcPr>
          <w:p w14:paraId="07DEE509">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序号</w:t>
            </w:r>
          </w:p>
        </w:tc>
        <w:tc>
          <w:tcPr>
            <w:tcW w:w="2789" w:type="dxa"/>
            <w:shd w:val="clear" w:color="auto" w:fill="auto"/>
            <w:noWrap/>
            <w:vAlign w:val="center"/>
          </w:tcPr>
          <w:p w14:paraId="08722F1D">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检查事项</w:t>
            </w:r>
          </w:p>
        </w:tc>
        <w:tc>
          <w:tcPr>
            <w:tcW w:w="2512" w:type="dxa"/>
            <w:shd w:val="clear" w:color="auto" w:fill="auto"/>
            <w:noWrap/>
            <w:vAlign w:val="center"/>
          </w:tcPr>
          <w:p w14:paraId="2D405849">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检查依据</w:t>
            </w:r>
          </w:p>
        </w:tc>
        <w:tc>
          <w:tcPr>
            <w:tcW w:w="2512" w:type="dxa"/>
            <w:shd w:val="clear" w:color="auto" w:fill="auto"/>
            <w:noWrap/>
            <w:vAlign w:val="center"/>
          </w:tcPr>
          <w:p w14:paraId="35B29EAD">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检查标准</w:t>
            </w:r>
          </w:p>
        </w:tc>
        <w:tc>
          <w:tcPr>
            <w:tcW w:w="2818" w:type="dxa"/>
            <w:shd w:val="clear" w:color="auto" w:fill="auto"/>
            <w:vAlign w:val="center"/>
          </w:tcPr>
          <w:p w14:paraId="1B4C2247">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检查频次上限</w:t>
            </w:r>
          </w:p>
        </w:tc>
        <w:tc>
          <w:tcPr>
            <w:tcW w:w="2177" w:type="dxa"/>
            <w:shd w:val="clear" w:color="auto" w:fill="auto"/>
            <w:vAlign w:val="center"/>
          </w:tcPr>
          <w:p w14:paraId="509EC489">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专项检查计划</w:t>
            </w:r>
          </w:p>
        </w:tc>
        <w:tc>
          <w:tcPr>
            <w:tcW w:w="1285" w:type="dxa"/>
            <w:shd w:val="clear" w:color="auto" w:fill="auto"/>
            <w:noWrap/>
            <w:vAlign w:val="center"/>
          </w:tcPr>
          <w:p w14:paraId="7A174230">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备注</w:t>
            </w:r>
          </w:p>
        </w:tc>
      </w:tr>
      <w:tr w14:paraId="57A0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8" w:type="dxa"/>
            <w:shd w:val="clear" w:color="auto" w:fill="auto"/>
            <w:noWrap/>
            <w:vAlign w:val="center"/>
          </w:tcPr>
          <w:p w14:paraId="1D2276EA">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w:t>
            </w:r>
          </w:p>
        </w:tc>
        <w:tc>
          <w:tcPr>
            <w:tcW w:w="2789" w:type="dxa"/>
            <w:shd w:val="clear" w:color="auto" w:fill="auto"/>
            <w:noWrap/>
            <w:vAlign w:val="center"/>
          </w:tcPr>
          <w:p w14:paraId="7E441FEF">
            <w:pPr>
              <w:widowControl/>
              <w:spacing w:line="300" w:lineRule="exact"/>
              <w:jc w:val="center"/>
              <w:rPr>
                <w:rFonts w:ascii="仿宋_GB2312" w:hAnsi="宋体" w:eastAsia="仿宋_GB2312" w:cs="宋体"/>
                <w:color w:val="000000"/>
                <w:kern w:val="0"/>
                <w:szCs w:val="21"/>
              </w:rPr>
            </w:pPr>
            <w:r>
              <w:rPr>
                <w:rStyle w:val="8"/>
                <w:rFonts w:hint="eastAsia" w:ascii="仿宋_GB2312" w:hAnsi="宋体" w:eastAsia="仿宋_GB2312" w:cs="仿宋_GB2312"/>
                <w:color w:val="000000"/>
                <w:kern w:val="0"/>
                <w:szCs w:val="21"/>
              </w:rPr>
              <w:t xml:space="preserve">    对擅自从事互联网上网服务经营活动的处罚和规定的强制措施</w:t>
            </w:r>
            <w:r>
              <w:rPr>
                <w:rFonts w:hint="eastAsia" w:ascii="仿宋_GB2312" w:hAnsi="仿宋" w:eastAsia="仿宋_GB2312" w:cs="仿宋"/>
                <w:color w:val="000000"/>
                <w:szCs w:val="21"/>
              </w:rPr>
              <w:t>、违规接纳未成年人.</w:t>
            </w:r>
            <w:r>
              <w:rPr>
                <w:rFonts w:hint="eastAsia" w:ascii="仿宋_GB2312" w:hAnsi="宋体" w:eastAsia="仿宋_GB2312" w:cs="宋体"/>
                <w:color w:val="000000"/>
                <w:kern w:val="0"/>
                <w:szCs w:val="21"/>
              </w:rPr>
              <w:t>　</w:t>
            </w:r>
          </w:p>
        </w:tc>
        <w:tc>
          <w:tcPr>
            <w:tcW w:w="2512" w:type="dxa"/>
            <w:shd w:val="clear" w:color="auto" w:fill="auto"/>
            <w:noWrap/>
            <w:vAlign w:val="center"/>
          </w:tcPr>
          <w:p w14:paraId="2E7C3A67">
            <w:pPr>
              <w:widowControl/>
              <w:spacing w:line="300" w:lineRule="exact"/>
              <w:jc w:val="center"/>
              <w:rPr>
                <w:rFonts w:ascii="仿宋_GB2312" w:hAnsi="宋体" w:eastAsia="仿宋_GB2312" w:cs="宋体"/>
                <w:color w:val="000000"/>
                <w:kern w:val="0"/>
                <w:szCs w:val="21"/>
              </w:rPr>
            </w:pPr>
            <w:r>
              <w:rPr>
                <w:rStyle w:val="8"/>
                <w:rFonts w:hint="eastAsia" w:ascii="仿宋_GB2312" w:hAnsi="宋体" w:eastAsia="仿宋_GB2312" w:cs="仿宋_GB2312"/>
                <w:color w:val="000000"/>
                <w:kern w:val="0"/>
                <w:szCs w:val="21"/>
              </w:rPr>
              <w:t>互联网上网服务营业场所管理条例》（国务院令第363号2022年3月修订）第二十七条</w:t>
            </w:r>
            <w:r>
              <w:rPr>
                <w:rFonts w:hint="eastAsia" w:ascii="仿宋_GB2312" w:hAnsi="宋体" w:eastAsia="仿宋_GB2312" w:cs="宋体"/>
                <w:color w:val="000000"/>
                <w:kern w:val="0"/>
                <w:szCs w:val="21"/>
              </w:rPr>
              <w:t>　</w:t>
            </w:r>
          </w:p>
        </w:tc>
        <w:tc>
          <w:tcPr>
            <w:tcW w:w="2512" w:type="dxa"/>
            <w:shd w:val="clear" w:color="auto" w:fill="auto"/>
            <w:noWrap/>
            <w:vAlign w:val="center"/>
          </w:tcPr>
          <w:p w14:paraId="18D3A505">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按照相应法律法规规范执行　</w:t>
            </w:r>
          </w:p>
        </w:tc>
        <w:tc>
          <w:tcPr>
            <w:tcW w:w="2818" w:type="dxa"/>
            <w:shd w:val="clear" w:color="auto" w:fill="auto"/>
            <w:noWrap/>
            <w:vAlign w:val="center"/>
          </w:tcPr>
          <w:p w14:paraId="07B63445">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6次/年　</w:t>
            </w:r>
          </w:p>
        </w:tc>
        <w:tc>
          <w:tcPr>
            <w:tcW w:w="2177" w:type="dxa"/>
            <w:shd w:val="clear" w:color="auto" w:fill="auto"/>
            <w:noWrap/>
            <w:vAlign w:val="center"/>
          </w:tcPr>
          <w:p w14:paraId="79740537">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2次/年　</w:t>
            </w:r>
          </w:p>
        </w:tc>
        <w:tc>
          <w:tcPr>
            <w:tcW w:w="1285" w:type="dxa"/>
            <w:shd w:val="clear" w:color="auto" w:fill="auto"/>
            <w:noWrap/>
            <w:vAlign w:val="center"/>
          </w:tcPr>
          <w:p w14:paraId="0D31AE65">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091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8" w:type="dxa"/>
            <w:shd w:val="clear" w:color="auto" w:fill="auto"/>
            <w:noWrap/>
            <w:vAlign w:val="center"/>
          </w:tcPr>
          <w:p w14:paraId="3901CD59">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789" w:type="dxa"/>
            <w:shd w:val="clear" w:color="auto" w:fill="auto"/>
            <w:noWrap/>
            <w:vAlign w:val="center"/>
          </w:tcPr>
          <w:p w14:paraId="008F5D66">
            <w:pPr>
              <w:spacing w:line="320" w:lineRule="exact"/>
              <w:ind w:firstLine="420" w:firstLineChars="200"/>
              <w:jc w:val="left"/>
              <w:textAlignment w:val="center"/>
              <w:rPr>
                <w:rStyle w:val="8"/>
                <w:rFonts w:ascii="仿宋_GB2312" w:hAnsi="宋体" w:eastAsia="仿宋_GB2312" w:cs="Times New Roman"/>
                <w:color w:val="000000"/>
                <w:szCs w:val="21"/>
              </w:rPr>
            </w:pPr>
            <w:r>
              <w:rPr>
                <w:rStyle w:val="8"/>
                <w:rFonts w:hint="eastAsia" w:ascii="仿宋_GB2312" w:hAnsi="宋体" w:eastAsia="仿宋_GB2312" w:cs="仿宋_GB2312"/>
                <w:color w:val="000000"/>
                <w:kern w:val="0"/>
                <w:szCs w:val="21"/>
              </w:rPr>
              <w:t>对娱乐场所变更有关事项，未按照规定申请重新核发娱乐经营许可证的;</w:t>
            </w:r>
            <w:r>
              <w:rPr>
                <w:rStyle w:val="8"/>
                <w:rFonts w:hint="eastAsia" w:ascii="仿宋_GB2312" w:hAnsi="宋体" w:eastAsia="仿宋_GB2312" w:cs="Times New Roman"/>
                <w:color w:val="000000"/>
                <w:szCs w:val="21"/>
              </w:rPr>
              <w:t>对娱乐场所未在显著位置悬挂娱乐经营许可证，</w:t>
            </w:r>
            <w:r>
              <w:rPr>
                <w:rStyle w:val="8"/>
                <w:rFonts w:hint="eastAsia" w:ascii="仿宋_GB2312" w:hAnsi="宋体" w:eastAsia="仿宋_GB2312" w:cs="仿宋_GB2312"/>
                <w:color w:val="000000"/>
                <w:kern w:val="0"/>
                <w:szCs w:val="21"/>
              </w:rPr>
              <w:t>在规定的禁止营业时间内营业的;从业人员在营业期间未统一着装并佩戴工作标志的处罚；</w:t>
            </w:r>
            <w:r>
              <w:rPr>
                <w:rStyle w:val="8"/>
                <w:rFonts w:hint="eastAsia" w:ascii="仿宋_GB2312" w:hAnsi="宋体" w:eastAsia="仿宋_GB2312" w:cs="Times New Roman"/>
                <w:color w:val="000000"/>
                <w:szCs w:val="21"/>
              </w:rPr>
              <w:t>对互联网上网服务营业场所、营业性歌舞厅、营业性电子游戏场所等娱乐场所以及其他未成年人不宜进入的场所接纳未成年人的，或者未设置禁止未成年人进入警示标志及标志未注明举报电话的处罚。</w:t>
            </w:r>
          </w:p>
        </w:tc>
        <w:tc>
          <w:tcPr>
            <w:tcW w:w="2512" w:type="dxa"/>
            <w:shd w:val="clear" w:color="auto" w:fill="auto"/>
            <w:noWrap/>
          </w:tcPr>
          <w:p w14:paraId="7FB43794">
            <w:pPr>
              <w:spacing w:line="320" w:lineRule="exact"/>
              <w:ind w:firstLine="210" w:firstLineChars="100"/>
              <w:textAlignment w:val="center"/>
              <w:rPr>
                <w:rStyle w:val="8"/>
                <w:rFonts w:ascii="仿宋_GB2312" w:hAnsi="宋体" w:eastAsia="仿宋_GB2312" w:cs="Times New Roman"/>
                <w:color w:val="000000"/>
                <w:szCs w:val="21"/>
              </w:rPr>
            </w:pPr>
            <w:r>
              <w:rPr>
                <w:rStyle w:val="8"/>
                <w:rFonts w:hint="eastAsia" w:ascii="仿宋_GB2312" w:hAnsi="宋体" w:eastAsia="仿宋_GB2312" w:cs="Times New Roman"/>
                <w:color w:val="000000"/>
                <w:szCs w:val="21"/>
              </w:rPr>
              <w:t>《娱乐场所管理条例》(国务院令第458号2020年11月修订)第四十九条、第五十一条，《娱乐场所管理办法》(文化部令第55号2022年 5月修订)第二十四条、第三十三条；</w:t>
            </w:r>
            <w:r>
              <w:rPr>
                <w:rStyle w:val="8"/>
                <w:rFonts w:hint="eastAsia" w:ascii="仿宋_GB2312" w:hAnsi="宋体" w:eastAsia="仿宋_GB2312" w:cs="仿宋_GB2312"/>
                <w:color w:val="000000"/>
                <w:kern w:val="0"/>
                <w:szCs w:val="21"/>
              </w:rPr>
              <w:t>《互联网上网服务营业场所管理条例》第二十一条；</w:t>
            </w:r>
            <w:r>
              <w:rPr>
                <w:rStyle w:val="8"/>
                <w:rFonts w:hint="eastAsia" w:ascii="仿宋_GB2312" w:hAnsi="宋体" w:eastAsia="仿宋_GB2312" w:cs="Times New Roman"/>
                <w:color w:val="000000"/>
                <w:szCs w:val="21"/>
              </w:rPr>
              <w:t>《陕西省实施〈中华人民共和国预防未成年人犯罪县法〉办法》第十六条、第二十七条。</w:t>
            </w:r>
          </w:p>
        </w:tc>
        <w:tc>
          <w:tcPr>
            <w:tcW w:w="2512" w:type="dxa"/>
            <w:shd w:val="clear" w:color="auto" w:fill="auto"/>
            <w:noWrap/>
            <w:vAlign w:val="center"/>
          </w:tcPr>
          <w:p w14:paraId="142FCFA8">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按照相应法律法规规范执行　</w:t>
            </w:r>
          </w:p>
        </w:tc>
        <w:tc>
          <w:tcPr>
            <w:tcW w:w="2818" w:type="dxa"/>
            <w:shd w:val="clear" w:color="auto" w:fill="auto"/>
            <w:noWrap/>
            <w:vAlign w:val="center"/>
          </w:tcPr>
          <w:p w14:paraId="20DD8F08">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6次/年　</w:t>
            </w:r>
          </w:p>
        </w:tc>
        <w:tc>
          <w:tcPr>
            <w:tcW w:w="2177" w:type="dxa"/>
            <w:shd w:val="clear" w:color="auto" w:fill="auto"/>
            <w:noWrap/>
            <w:vAlign w:val="center"/>
          </w:tcPr>
          <w:p w14:paraId="33C8F42B">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2次/年　</w:t>
            </w:r>
          </w:p>
        </w:tc>
        <w:tc>
          <w:tcPr>
            <w:tcW w:w="1285" w:type="dxa"/>
            <w:shd w:val="clear" w:color="auto" w:fill="auto"/>
            <w:noWrap/>
            <w:vAlign w:val="center"/>
          </w:tcPr>
          <w:p w14:paraId="58F58259">
            <w:pPr>
              <w:widowControl/>
              <w:spacing w:line="300" w:lineRule="exact"/>
              <w:jc w:val="center"/>
              <w:rPr>
                <w:rFonts w:ascii="仿宋_GB2312" w:hAnsi="宋体" w:eastAsia="仿宋_GB2312" w:cs="宋体"/>
                <w:color w:val="000000"/>
                <w:kern w:val="0"/>
                <w:szCs w:val="21"/>
              </w:rPr>
            </w:pPr>
          </w:p>
        </w:tc>
      </w:tr>
      <w:tr w14:paraId="1CC9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8" w:type="dxa"/>
            <w:shd w:val="clear" w:color="auto" w:fill="auto"/>
            <w:noWrap/>
            <w:vAlign w:val="center"/>
          </w:tcPr>
          <w:p w14:paraId="31346E24">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2789" w:type="dxa"/>
            <w:shd w:val="clear" w:color="auto" w:fill="auto"/>
            <w:noWrap/>
            <w:vAlign w:val="center"/>
          </w:tcPr>
          <w:p w14:paraId="76859CE6">
            <w:pPr>
              <w:spacing w:line="320" w:lineRule="exact"/>
              <w:ind w:firstLine="420" w:firstLineChars="200"/>
              <w:jc w:val="left"/>
              <w:textAlignment w:val="center"/>
              <w:rPr>
                <w:rStyle w:val="8"/>
                <w:rFonts w:ascii="仿宋_GB2312" w:hAnsi="宋体" w:eastAsia="仿宋_GB2312" w:cs="Times New Roman"/>
                <w:color w:val="000000"/>
                <w:szCs w:val="21"/>
              </w:rPr>
            </w:pPr>
            <w:r>
              <w:rPr>
                <w:rStyle w:val="8"/>
                <w:rFonts w:hint="eastAsia" w:ascii="仿宋_GB2312" w:hAnsi="宋体" w:eastAsia="仿宋_GB2312" w:cs="仿宋_GB2312"/>
                <w:color w:val="000000"/>
                <w:kern w:val="0"/>
                <w:szCs w:val="21"/>
              </w:rPr>
              <w:t>对擅自从事营业性演出经营活动的;超范围从事营业性演出经营活动的;变更营业性演出经营项目未向原发证机关申请换发营业性演出许可证的处罚(不含取缔)；对未经批准举办营业性演出等的处罚；对变更演出举办单位、参加演出的文艺表演团体、演员或者节目未重新报批;演出场所经营单位为未经批准的营业性演出提供场地的处罚。</w:t>
            </w:r>
          </w:p>
        </w:tc>
        <w:tc>
          <w:tcPr>
            <w:tcW w:w="2512" w:type="dxa"/>
            <w:shd w:val="clear" w:color="auto" w:fill="auto"/>
            <w:noWrap/>
            <w:vAlign w:val="center"/>
          </w:tcPr>
          <w:p w14:paraId="5F3F2628">
            <w:pPr>
              <w:spacing w:line="320" w:lineRule="exact"/>
              <w:ind w:firstLine="210" w:firstLineChars="100"/>
              <w:jc w:val="left"/>
              <w:textAlignment w:val="center"/>
              <w:rPr>
                <w:rStyle w:val="8"/>
                <w:rFonts w:ascii="仿宋_GB2312" w:hAnsi="宋体" w:eastAsia="仿宋_GB2312" w:cs="Times New Roman"/>
                <w:color w:val="000000"/>
                <w:szCs w:val="21"/>
              </w:rPr>
            </w:pPr>
            <w:r>
              <w:rPr>
                <w:rStyle w:val="8"/>
                <w:rFonts w:hint="eastAsia" w:ascii="仿宋_GB2312" w:hAnsi="宋体" w:eastAsia="仿宋_GB2312" w:cs="仿宋_GB2312"/>
                <w:color w:val="000000"/>
                <w:kern w:val="0"/>
                <w:szCs w:val="21"/>
              </w:rPr>
              <w:t>《营业性演出管理条例》(国务院令第439号2020年11月修订) 第十三条、第十五条、第十六条、第四十三条、第四十四条。</w:t>
            </w:r>
          </w:p>
        </w:tc>
        <w:tc>
          <w:tcPr>
            <w:tcW w:w="2512" w:type="dxa"/>
            <w:shd w:val="clear" w:color="auto" w:fill="auto"/>
            <w:noWrap/>
            <w:vAlign w:val="center"/>
          </w:tcPr>
          <w:p w14:paraId="0D63D44D">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按照相应法律法规规范执行　</w:t>
            </w:r>
          </w:p>
        </w:tc>
        <w:tc>
          <w:tcPr>
            <w:tcW w:w="2818" w:type="dxa"/>
            <w:shd w:val="clear" w:color="auto" w:fill="auto"/>
            <w:noWrap/>
            <w:vAlign w:val="center"/>
          </w:tcPr>
          <w:p w14:paraId="6532A3D8">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6次/年　</w:t>
            </w:r>
          </w:p>
        </w:tc>
        <w:tc>
          <w:tcPr>
            <w:tcW w:w="2177" w:type="dxa"/>
            <w:shd w:val="clear" w:color="auto" w:fill="auto"/>
            <w:noWrap/>
            <w:vAlign w:val="center"/>
          </w:tcPr>
          <w:p w14:paraId="74E6EBB9">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2次/年　</w:t>
            </w:r>
          </w:p>
        </w:tc>
        <w:tc>
          <w:tcPr>
            <w:tcW w:w="1285" w:type="dxa"/>
            <w:shd w:val="clear" w:color="auto" w:fill="auto"/>
            <w:noWrap/>
            <w:vAlign w:val="center"/>
          </w:tcPr>
          <w:p w14:paraId="0E7373D8">
            <w:pPr>
              <w:widowControl/>
              <w:spacing w:line="300" w:lineRule="exact"/>
              <w:jc w:val="center"/>
              <w:rPr>
                <w:rFonts w:ascii="仿宋_GB2312" w:hAnsi="宋体" w:eastAsia="仿宋_GB2312" w:cs="宋体"/>
                <w:color w:val="000000"/>
                <w:kern w:val="0"/>
                <w:szCs w:val="21"/>
              </w:rPr>
            </w:pPr>
          </w:p>
        </w:tc>
      </w:tr>
      <w:tr w14:paraId="3277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008" w:type="dxa"/>
            <w:shd w:val="clear" w:color="auto" w:fill="auto"/>
            <w:noWrap/>
            <w:vAlign w:val="center"/>
          </w:tcPr>
          <w:p w14:paraId="253D901B">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2789" w:type="dxa"/>
            <w:shd w:val="clear" w:color="auto" w:fill="auto"/>
            <w:noWrap/>
            <w:vAlign w:val="center"/>
          </w:tcPr>
          <w:p w14:paraId="479C7A0D">
            <w:pPr>
              <w:spacing w:line="320" w:lineRule="exact"/>
              <w:ind w:firstLine="420" w:firstLineChars="200"/>
              <w:jc w:val="left"/>
              <w:textAlignment w:val="center"/>
              <w:rPr>
                <w:rStyle w:val="8"/>
                <w:rFonts w:ascii="仿宋_GB2312" w:hAnsi="宋体" w:eastAsia="仿宋_GB2312" w:cs="Times New Roman"/>
                <w:color w:val="000000"/>
                <w:szCs w:val="21"/>
              </w:rPr>
            </w:pPr>
            <w:r>
              <w:rPr>
                <w:rStyle w:val="8"/>
                <w:rFonts w:hint="eastAsia" w:ascii="仿宋_GB2312" w:hAnsi="宋体" w:eastAsia="仿宋_GB2312" w:cs="仿宋_GB2312"/>
                <w:color w:val="000000"/>
                <w:kern w:val="0"/>
                <w:szCs w:val="21"/>
              </w:rPr>
              <w:t>对违反规定经营图书、报纸、期刊零售和出租业务的处罚。</w:t>
            </w:r>
          </w:p>
        </w:tc>
        <w:tc>
          <w:tcPr>
            <w:tcW w:w="2512" w:type="dxa"/>
            <w:shd w:val="clear" w:color="auto" w:fill="auto"/>
            <w:noWrap/>
            <w:vAlign w:val="center"/>
          </w:tcPr>
          <w:p w14:paraId="348A8846">
            <w:pPr>
              <w:spacing w:line="320" w:lineRule="exact"/>
              <w:ind w:firstLine="210" w:firstLineChars="100"/>
              <w:jc w:val="left"/>
              <w:textAlignment w:val="center"/>
              <w:rPr>
                <w:rStyle w:val="8"/>
                <w:rFonts w:ascii="仿宋_GB2312" w:hAnsi="宋体" w:eastAsia="仿宋_GB2312" w:cs="Times New Roman"/>
                <w:color w:val="000000"/>
                <w:szCs w:val="21"/>
              </w:rPr>
            </w:pPr>
            <w:r>
              <w:rPr>
                <w:rStyle w:val="8"/>
                <w:rFonts w:hint="eastAsia" w:ascii="仿宋_GB2312" w:hAnsi="宋体" w:eastAsia="仿宋_GB2312" w:cs="仿宋_GB2312"/>
                <w:color w:val="000000"/>
                <w:kern w:val="0"/>
                <w:szCs w:val="21"/>
              </w:rPr>
              <w:t>《陕西省文化市场管理条例》第二十六条、第二十八条、第三十五条第(八)项</w:t>
            </w:r>
          </w:p>
        </w:tc>
        <w:tc>
          <w:tcPr>
            <w:tcW w:w="2512" w:type="dxa"/>
            <w:shd w:val="clear" w:color="auto" w:fill="auto"/>
            <w:noWrap/>
            <w:vAlign w:val="center"/>
          </w:tcPr>
          <w:p w14:paraId="4D37A7E3">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按照相应法律法规规范执行　</w:t>
            </w:r>
          </w:p>
        </w:tc>
        <w:tc>
          <w:tcPr>
            <w:tcW w:w="2818" w:type="dxa"/>
            <w:shd w:val="clear" w:color="auto" w:fill="auto"/>
            <w:noWrap/>
            <w:vAlign w:val="center"/>
          </w:tcPr>
          <w:p w14:paraId="465D2E32">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6次/年　</w:t>
            </w:r>
          </w:p>
        </w:tc>
        <w:tc>
          <w:tcPr>
            <w:tcW w:w="2177" w:type="dxa"/>
            <w:shd w:val="clear" w:color="auto" w:fill="auto"/>
            <w:noWrap/>
            <w:vAlign w:val="center"/>
          </w:tcPr>
          <w:p w14:paraId="075C4BA6">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2次/年　</w:t>
            </w:r>
          </w:p>
        </w:tc>
        <w:tc>
          <w:tcPr>
            <w:tcW w:w="1285" w:type="dxa"/>
            <w:shd w:val="clear" w:color="auto" w:fill="auto"/>
            <w:noWrap/>
            <w:vAlign w:val="center"/>
          </w:tcPr>
          <w:p w14:paraId="6315EC2F">
            <w:pPr>
              <w:widowControl/>
              <w:spacing w:line="300" w:lineRule="exact"/>
              <w:jc w:val="center"/>
              <w:rPr>
                <w:rFonts w:ascii="仿宋_GB2312" w:hAnsi="宋体" w:eastAsia="仿宋_GB2312" w:cs="宋体"/>
                <w:color w:val="000000"/>
                <w:kern w:val="0"/>
                <w:szCs w:val="21"/>
              </w:rPr>
            </w:pPr>
          </w:p>
        </w:tc>
      </w:tr>
      <w:tr w14:paraId="4EA0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8" w:type="dxa"/>
            <w:shd w:val="clear" w:color="auto" w:fill="auto"/>
            <w:noWrap/>
            <w:vAlign w:val="center"/>
          </w:tcPr>
          <w:p w14:paraId="74C9FE2A">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2789" w:type="dxa"/>
            <w:shd w:val="clear" w:color="auto" w:fill="auto"/>
            <w:noWrap/>
            <w:vAlign w:val="center"/>
          </w:tcPr>
          <w:p w14:paraId="2F40EE19">
            <w:pPr>
              <w:widowControl/>
              <w:spacing w:line="300" w:lineRule="exact"/>
              <w:ind w:firstLine="420" w:firstLineChars="200"/>
              <w:rPr>
                <w:rFonts w:ascii="仿宋_GB2312" w:hAnsi="仿宋" w:eastAsia="仿宋_GB2312" w:cs="仿宋"/>
                <w:color w:val="000000"/>
                <w:szCs w:val="21"/>
              </w:rPr>
            </w:pPr>
            <w:r>
              <w:rPr>
                <w:rFonts w:hint="eastAsia" w:ascii="仿宋_GB2312" w:hAnsi="仿宋" w:eastAsia="仿宋_GB2312" w:cs="仿宋"/>
                <w:color w:val="000000"/>
                <w:szCs w:val="21"/>
              </w:rPr>
              <w:t>擅自举办校外培训机构；艺术类培训机构变相开展学科类校外培训；培训机构管理混乱。</w:t>
            </w:r>
          </w:p>
        </w:tc>
        <w:tc>
          <w:tcPr>
            <w:tcW w:w="2512" w:type="dxa"/>
            <w:shd w:val="clear" w:color="auto" w:fill="auto"/>
            <w:noWrap/>
            <w:vAlign w:val="center"/>
          </w:tcPr>
          <w:p w14:paraId="74B9204D">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《校外培训行政处罚暂行办法（试行）》第十七条；第十八条；第二十条。</w:t>
            </w:r>
          </w:p>
        </w:tc>
        <w:tc>
          <w:tcPr>
            <w:tcW w:w="2512" w:type="dxa"/>
            <w:shd w:val="clear" w:color="auto" w:fill="auto"/>
            <w:noWrap/>
            <w:vAlign w:val="center"/>
          </w:tcPr>
          <w:p w14:paraId="2B6487B3">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按照相应法律法规规范执行　</w:t>
            </w:r>
          </w:p>
        </w:tc>
        <w:tc>
          <w:tcPr>
            <w:tcW w:w="2818" w:type="dxa"/>
            <w:shd w:val="clear" w:color="auto" w:fill="auto"/>
            <w:noWrap/>
            <w:vAlign w:val="center"/>
          </w:tcPr>
          <w:p w14:paraId="260C135C">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6次/年　</w:t>
            </w:r>
          </w:p>
        </w:tc>
        <w:tc>
          <w:tcPr>
            <w:tcW w:w="2177" w:type="dxa"/>
            <w:shd w:val="clear" w:color="auto" w:fill="auto"/>
            <w:noWrap/>
            <w:vAlign w:val="center"/>
          </w:tcPr>
          <w:p w14:paraId="2FA82514">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2次/年　</w:t>
            </w:r>
          </w:p>
        </w:tc>
        <w:tc>
          <w:tcPr>
            <w:tcW w:w="1285" w:type="dxa"/>
            <w:shd w:val="clear" w:color="auto" w:fill="auto"/>
            <w:noWrap/>
            <w:vAlign w:val="center"/>
          </w:tcPr>
          <w:p w14:paraId="2DD3382A">
            <w:pPr>
              <w:widowControl/>
              <w:spacing w:line="300" w:lineRule="exact"/>
              <w:jc w:val="center"/>
              <w:rPr>
                <w:rFonts w:ascii="仿宋_GB2312" w:hAnsi="宋体" w:eastAsia="仿宋_GB2312" w:cs="宋体"/>
                <w:color w:val="000000"/>
                <w:kern w:val="0"/>
                <w:szCs w:val="21"/>
              </w:rPr>
            </w:pPr>
          </w:p>
        </w:tc>
      </w:tr>
      <w:tr w14:paraId="02CD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8" w:type="dxa"/>
            <w:shd w:val="clear" w:color="auto" w:fill="auto"/>
            <w:noWrap/>
            <w:vAlign w:val="center"/>
          </w:tcPr>
          <w:p w14:paraId="1DD356DB">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2789" w:type="dxa"/>
            <w:shd w:val="clear" w:color="auto" w:fill="auto"/>
            <w:noWrap/>
            <w:vAlign w:val="center"/>
          </w:tcPr>
          <w:p w14:paraId="6311890E">
            <w:pPr>
              <w:ind w:firstLine="420" w:firstLineChars="200"/>
              <w:rPr>
                <w:rFonts w:hint="eastAsia" w:ascii="仿宋_GB2312" w:eastAsia="仿宋_GB2312"/>
                <w:szCs w:val="21"/>
              </w:rPr>
            </w:pPr>
            <w:r>
              <w:rPr>
                <w:rFonts w:hint="eastAsia" w:ascii="仿宋_GB2312" w:eastAsia="仿宋_GB2312"/>
                <w:szCs w:val="21"/>
              </w:rPr>
              <w:t>旅行社是否取得旅行社业务经营许可证，旅行社变更名称、经营场所、法定代表人等登记事项或者终止经营；是否在规定期限内向原许可的旅游行政管理部门备案；是否与旅游者签订旅游合同，不合理的低价组织旅游活动，诱骗旅游者，并通过安排购物或者另行付费旅游项目获取回扣等不正当利益；旅游场所是否符合消防安全、治安管理等要求。</w:t>
            </w:r>
          </w:p>
          <w:p w14:paraId="0EFC8932">
            <w:pPr>
              <w:rPr>
                <w:rFonts w:hint="eastAsia" w:ascii="仿宋_GB2312" w:eastAsia="仿宋_GB2312"/>
                <w:szCs w:val="21"/>
              </w:rPr>
            </w:pPr>
          </w:p>
          <w:p w14:paraId="0EE130DC">
            <w:pPr>
              <w:jc w:val="center"/>
              <w:rPr>
                <w:rFonts w:hint="eastAsia" w:ascii="仿宋_GB2312" w:hAnsi="仿宋" w:eastAsia="仿宋_GB2312" w:cs="仿宋"/>
                <w:color w:val="000000"/>
                <w:szCs w:val="21"/>
              </w:rPr>
            </w:pPr>
          </w:p>
        </w:tc>
        <w:tc>
          <w:tcPr>
            <w:tcW w:w="2512" w:type="dxa"/>
            <w:shd w:val="clear" w:color="auto" w:fill="auto"/>
            <w:noWrap/>
            <w:vAlign w:val="center"/>
          </w:tcPr>
          <w:p w14:paraId="1D973771">
            <w:pPr>
              <w:rPr>
                <w:rFonts w:hint="eastAsia" w:ascii="仿宋_GB2312" w:eastAsia="仿宋_GB2312"/>
                <w:szCs w:val="21"/>
              </w:rPr>
            </w:pPr>
            <w:r>
              <w:rPr>
                <w:rFonts w:hint="eastAsia" w:ascii="仿宋_GB2312" w:eastAsia="仿宋_GB2312"/>
                <w:szCs w:val="21"/>
              </w:rPr>
              <w:t xml:space="preserve"> 《中华人民共和国旅游法》第八十三条、第八十五条；《旅行社条例》第二十八条、第四十四条。</w:t>
            </w:r>
          </w:p>
          <w:p w14:paraId="69C245DF">
            <w:pPr>
              <w:widowControl/>
              <w:spacing w:line="300" w:lineRule="exact"/>
              <w:jc w:val="center"/>
              <w:rPr>
                <w:rFonts w:hint="eastAsia" w:ascii="仿宋_GB2312" w:hAnsi="宋体" w:eastAsia="仿宋_GB2312" w:cs="宋体"/>
                <w:color w:val="000000"/>
                <w:kern w:val="0"/>
                <w:szCs w:val="21"/>
              </w:rPr>
            </w:pPr>
          </w:p>
        </w:tc>
        <w:tc>
          <w:tcPr>
            <w:tcW w:w="2512" w:type="dxa"/>
            <w:shd w:val="clear" w:color="auto" w:fill="auto"/>
            <w:noWrap/>
            <w:vAlign w:val="center"/>
          </w:tcPr>
          <w:p w14:paraId="27879ED3">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按照相应法律法规规范执行　</w:t>
            </w:r>
          </w:p>
        </w:tc>
        <w:tc>
          <w:tcPr>
            <w:tcW w:w="2818" w:type="dxa"/>
            <w:shd w:val="clear" w:color="auto" w:fill="auto"/>
            <w:noWrap/>
            <w:vAlign w:val="center"/>
          </w:tcPr>
          <w:p w14:paraId="36A54BD4">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6次/年　</w:t>
            </w:r>
          </w:p>
        </w:tc>
        <w:tc>
          <w:tcPr>
            <w:tcW w:w="2177" w:type="dxa"/>
            <w:shd w:val="clear" w:color="auto" w:fill="auto"/>
            <w:noWrap/>
            <w:vAlign w:val="center"/>
          </w:tcPr>
          <w:p w14:paraId="7F7832F2">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2次/年　</w:t>
            </w:r>
          </w:p>
        </w:tc>
        <w:tc>
          <w:tcPr>
            <w:tcW w:w="1285" w:type="dxa"/>
            <w:shd w:val="clear" w:color="auto" w:fill="auto"/>
            <w:noWrap/>
            <w:vAlign w:val="center"/>
          </w:tcPr>
          <w:p w14:paraId="13A18186">
            <w:pPr>
              <w:widowControl/>
              <w:spacing w:line="300" w:lineRule="exact"/>
              <w:jc w:val="center"/>
              <w:rPr>
                <w:rFonts w:ascii="仿宋_GB2312" w:hAnsi="宋体" w:eastAsia="仿宋_GB2312" w:cs="宋体"/>
                <w:color w:val="000000"/>
                <w:kern w:val="0"/>
                <w:szCs w:val="21"/>
              </w:rPr>
            </w:pPr>
          </w:p>
        </w:tc>
      </w:tr>
      <w:tr w14:paraId="181B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8" w:type="dxa"/>
            <w:shd w:val="clear" w:color="auto" w:fill="auto"/>
            <w:noWrap/>
            <w:vAlign w:val="center"/>
          </w:tcPr>
          <w:p w14:paraId="2AD22675">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2789" w:type="dxa"/>
            <w:shd w:val="clear" w:color="auto" w:fill="auto"/>
            <w:noWrap/>
            <w:vAlign w:val="center"/>
          </w:tcPr>
          <w:p w14:paraId="437574B0">
            <w:pPr>
              <w:widowControl/>
              <w:spacing w:line="300" w:lineRule="exact"/>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 xml:space="preserve">    对迁移、重建文物保护单位古建筑的许可活动的监管；对擅自在文物保护单位的保护范围内进行建设工程或者爆破、钻探、挖掘等作业行为;在文物保护单位的建设控制地带内进行建设工程，其工程设计方案未经文物行政部门同意、报城乡建设规划部门批准，对文物保护单位的历史风貌造成破坏行为;擅自迁移、拆除不可移动文物行为;擅自修缮不可移动文物，明显改变文物原状行为;擅自在原址重建已全部毁坏的不可移动文物，造成文物破坏行为;施工单位未取得文物保护工程资质证书，擅自从事文物修缮、迁移、重建行为的行政检查。</w:t>
            </w:r>
          </w:p>
        </w:tc>
        <w:tc>
          <w:tcPr>
            <w:tcW w:w="2512" w:type="dxa"/>
            <w:shd w:val="clear" w:color="auto" w:fill="auto"/>
            <w:noWrap/>
            <w:vAlign w:val="center"/>
          </w:tcPr>
          <w:p w14:paraId="54905BA6">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《中华人民共和国文物保护法》第六十六条；《中华人民共和国文物保护法实施条例》第十五条、第五十五条。</w:t>
            </w:r>
          </w:p>
        </w:tc>
        <w:tc>
          <w:tcPr>
            <w:tcW w:w="2512" w:type="dxa"/>
            <w:shd w:val="clear" w:color="auto" w:fill="auto"/>
            <w:noWrap/>
            <w:vAlign w:val="center"/>
          </w:tcPr>
          <w:p w14:paraId="4B7D84D9">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按照相应法律法规规范执行　</w:t>
            </w:r>
          </w:p>
        </w:tc>
        <w:tc>
          <w:tcPr>
            <w:tcW w:w="2818" w:type="dxa"/>
            <w:shd w:val="clear" w:color="auto" w:fill="auto"/>
            <w:noWrap/>
            <w:vAlign w:val="center"/>
          </w:tcPr>
          <w:p w14:paraId="2890E67B">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6次/年　</w:t>
            </w:r>
          </w:p>
        </w:tc>
        <w:tc>
          <w:tcPr>
            <w:tcW w:w="2177" w:type="dxa"/>
            <w:shd w:val="clear" w:color="auto" w:fill="auto"/>
            <w:noWrap/>
            <w:vAlign w:val="center"/>
          </w:tcPr>
          <w:p w14:paraId="2D19657A">
            <w:pPr>
              <w:widowControl/>
              <w:spacing w:line="3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2次/年　</w:t>
            </w:r>
          </w:p>
        </w:tc>
        <w:tc>
          <w:tcPr>
            <w:tcW w:w="1285" w:type="dxa"/>
            <w:shd w:val="clear" w:color="auto" w:fill="auto"/>
            <w:noWrap/>
            <w:vAlign w:val="center"/>
          </w:tcPr>
          <w:p w14:paraId="241C8448">
            <w:pPr>
              <w:widowControl/>
              <w:spacing w:line="300" w:lineRule="exact"/>
              <w:jc w:val="center"/>
              <w:rPr>
                <w:rFonts w:ascii="仿宋_GB2312" w:hAnsi="宋体" w:eastAsia="仿宋_GB2312" w:cs="宋体"/>
                <w:color w:val="000000"/>
                <w:kern w:val="0"/>
                <w:szCs w:val="21"/>
              </w:rPr>
            </w:pPr>
          </w:p>
        </w:tc>
      </w:tr>
    </w:tbl>
    <w:p w14:paraId="524AC454">
      <w:pPr>
        <w:spacing w:line="580" w:lineRule="exact"/>
        <w:ind w:firstLine="160" w:firstLineChars="50"/>
        <w:jc w:val="left"/>
        <w:rPr>
          <w:rFonts w:ascii="仿宋_GB2312" w:hAnsi="方正小标宋简体" w:eastAsia="仿宋_GB2312"/>
          <w:color w:val="000000" w:themeColor="text1"/>
          <w:sz w:val="32"/>
          <w:szCs w:val="32"/>
        </w:rPr>
      </w:pPr>
      <w:r>
        <w:rPr>
          <w:rFonts w:hint="eastAsia" w:ascii="仿宋_GB2312" w:hAnsi="方正小标宋简体" w:eastAsia="仿宋_GB2312"/>
          <w:color w:val="000000" w:themeColor="text1"/>
          <w:sz w:val="32"/>
          <w:szCs w:val="32"/>
        </w:rPr>
        <w:t>填表人：冯奎香                                                  联系电话：6714777</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6DC8"/>
    <w:rsid w:val="001C4CAF"/>
    <w:rsid w:val="00257D2D"/>
    <w:rsid w:val="002A3FB4"/>
    <w:rsid w:val="002A62CA"/>
    <w:rsid w:val="00321122"/>
    <w:rsid w:val="00333FF7"/>
    <w:rsid w:val="003E6DC8"/>
    <w:rsid w:val="004539D1"/>
    <w:rsid w:val="004E0A1F"/>
    <w:rsid w:val="00782038"/>
    <w:rsid w:val="007B4502"/>
    <w:rsid w:val="00887F80"/>
    <w:rsid w:val="009453E6"/>
    <w:rsid w:val="009A407F"/>
    <w:rsid w:val="00A73C6B"/>
    <w:rsid w:val="00AA73DB"/>
    <w:rsid w:val="00BB6ED5"/>
    <w:rsid w:val="00BF0A38"/>
    <w:rsid w:val="00C24477"/>
    <w:rsid w:val="00D970D8"/>
    <w:rsid w:val="00E40B29"/>
    <w:rsid w:val="00F67671"/>
    <w:rsid w:val="00F72A18"/>
    <w:rsid w:val="19B94B48"/>
    <w:rsid w:val="22F015DA"/>
    <w:rsid w:val="27D66997"/>
    <w:rsid w:val="33D740F0"/>
    <w:rsid w:val="34B85CD0"/>
    <w:rsid w:val="34FA62E8"/>
    <w:rsid w:val="3E083824"/>
    <w:rsid w:val="3E5F540E"/>
    <w:rsid w:val="434370AD"/>
    <w:rsid w:val="436B2C11"/>
    <w:rsid w:val="53B67722"/>
    <w:rsid w:val="5E746D22"/>
    <w:rsid w:val="60B82A30"/>
    <w:rsid w:val="6A1D1B56"/>
    <w:rsid w:val="6C537AB1"/>
    <w:rsid w:val="74827185"/>
    <w:rsid w:val="79B61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NormalCharacter"/>
    <w:semiHidden/>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1442</Words>
  <Characters>1473</Characters>
  <Lines>11</Lines>
  <Paragraphs>3</Paragraphs>
  <TotalTime>59</TotalTime>
  <ScaleCrop>false</ScaleCrop>
  <LinksUpToDate>false</LinksUpToDate>
  <CharactersWithSpaces>1579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2025-02-21T01:36:00Z</dcterms:created>
  <dc:creator>Microsoft</dc:creator>
  <cp:lastModifiedBy>七友</cp:lastModifiedBy>
  <cp:lastPrinted>2025-02-21T00:41:00Z</cp:lastPrinted>
  <dcterms:modified xsi:type="dcterms:W3CDTF">2025-03-20T08:16:24Z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eyJoZGlkIjoiYWU3YWI3MTZmNjRlYjFlYzBkYTczNGIxMmUyYTM2MWQiLCJ1c2VySWQiOiIyNDQ5NzE2MzcifQ==</vt:lpwstr>
  </property>
  <property fmtid="{D5CDD505-2E9C-101B-9397-08002B2CF9AE}" pid="3" name="KSOProductBuildVer">
    <vt:lpwstr>2052-12.1.0.20305</vt:lpwstr>
  </property>
  <property fmtid="{D5CDD505-2E9C-101B-9397-08002B2CF9AE}" pid="4" name="ICV">
    <vt:lpwstr>54A906DE5C4941A6B9A7C8DEBCE70E04_12</vt:lpwstr>
  </property>
</Properties>
</file>